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74E82" w14:textId="6F7642C7" w:rsidR="003E7B37" w:rsidRPr="00A72E07" w:rsidRDefault="004A7124" w:rsidP="00A24C16">
      <w:pPr>
        <w:spacing w:line="360" w:lineRule="auto"/>
        <w:jc w:val="center"/>
        <w:rPr>
          <w:rFonts w:ascii="Calibri" w:hAnsi="Calibri" w:cs="Calibri"/>
          <w:b/>
          <w:bCs/>
          <w:color w:val="80340D" w:themeColor="accent2" w:themeShade="80"/>
        </w:rPr>
      </w:pPr>
      <w:r w:rsidRPr="00A72E07">
        <w:rPr>
          <w:rFonts w:ascii="Calibri" w:hAnsi="Calibri" w:cs="Calibri"/>
          <w:b/>
          <w:bCs/>
          <w:color w:val="80340D" w:themeColor="accent2" w:themeShade="80"/>
        </w:rPr>
        <w:t>INFLAMMATION</w:t>
      </w:r>
    </w:p>
    <w:p w14:paraId="042C4F6B" w14:textId="77777777" w:rsidR="002107FD" w:rsidRPr="00A72E07" w:rsidRDefault="002107FD" w:rsidP="00A24C16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2060"/>
        </w:rPr>
        <w:t>Inflammation is protective response of vascularized tissue to eliminate microbes or toxins from the site of cell damage or sites of infection</w:t>
      </w:r>
    </w:p>
    <w:p w14:paraId="0A1779E8" w14:textId="16BF971B" w:rsidR="004A7124" w:rsidRPr="00A72E07" w:rsidRDefault="00AE2C2B" w:rsidP="00A24C16">
      <w:pPr>
        <w:pStyle w:val="ListParagraph"/>
        <w:spacing w:line="360" w:lineRule="auto"/>
        <w:rPr>
          <w:rFonts w:ascii="Calibri" w:hAnsi="Calibri" w:cs="Calibri"/>
          <w:b/>
          <w:bCs/>
          <w:color w:val="80340D" w:themeColor="accent2" w:themeShade="80"/>
        </w:rPr>
      </w:pPr>
      <w:r w:rsidRPr="00A72E07">
        <w:rPr>
          <w:rFonts w:ascii="Calibri" w:hAnsi="Calibri" w:cs="Calibri"/>
          <w:b/>
          <w:bCs/>
          <w:noProof/>
          <w:color w:val="80340D" w:themeColor="accent2" w:themeShade="80"/>
        </w:rPr>
        <w:drawing>
          <wp:inline distT="0" distB="0" distL="0" distR="0" wp14:anchorId="4F14B542" wp14:editId="56985CCC">
            <wp:extent cx="3731342" cy="2413364"/>
            <wp:effectExtent l="0" t="0" r="2540" b="6350"/>
            <wp:docPr id="1037173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17312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46787" cy="242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6E70C" w14:textId="4FBFB53E" w:rsidR="00AE2C2B" w:rsidRPr="00A72E07" w:rsidRDefault="004F523B" w:rsidP="00A24C16">
      <w:pPr>
        <w:spacing w:line="360" w:lineRule="auto"/>
        <w:rPr>
          <w:rFonts w:ascii="Calibri" w:hAnsi="Calibri" w:cs="Calibri"/>
          <w:b/>
          <w:bCs/>
          <w:color w:val="00B050"/>
        </w:rPr>
      </w:pPr>
      <w:r w:rsidRPr="00A72E07">
        <w:rPr>
          <w:rFonts w:ascii="Calibri" w:hAnsi="Calibri" w:cs="Calibri"/>
          <w:b/>
          <w:bCs/>
          <w:color w:val="00B050"/>
        </w:rPr>
        <w:t>HISTORICAL EVENTS</w:t>
      </w:r>
    </w:p>
    <w:p w14:paraId="10391809" w14:textId="77777777" w:rsidR="00086C07" w:rsidRPr="00A72E07" w:rsidRDefault="00086C07" w:rsidP="00A24C16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2060"/>
        </w:rPr>
        <w:t>Inflammation was first described by Egyptian papyrus (around 3000BC)</w:t>
      </w:r>
    </w:p>
    <w:p w14:paraId="7587CE26" w14:textId="77777777" w:rsidR="00086C07" w:rsidRPr="00A72E07" w:rsidRDefault="00086C07" w:rsidP="00A24C16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2060"/>
        </w:rPr>
        <w:t xml:space="preserve">Later Roman writer, </w:t>
      </w:r>
      <w:r w:rsidRPr="00A72E07">
        <w:rPr>
          <w:rFonts w:ascii="Calibri" w:hAnsi="Calibri" w:cs="Calibri"/>
          <w:b/>
          <w:bCs/>
          <w:color w:val="0070C0"/>
        </w:rPr>
        <w:t>Celsus (1</w:t>
      </w:r>
      <w:r w:rsidRPr="00A72E07">
        <w:rPr>
          <w:rFonts w:ascii="Calibri" w:hAnsi="Calibri" w:cs="Calibri"/>
          <w:b/>
          <w:bCs/>
          <w:color w:val="0070C0"/>
          <w:vertAlign w:val="superscript"/>
        </w:rPr>
        <w:t>st</w:t>
      </w:r>
      <w:r w:rsidRPr="00A72E07">
        <w:rPr>
          <w:rFonts w:ascii="Calibri" w:hAnsi="Calibri" w:cs="Calibri"/>
          <w:b/>
          <w:bCs/>
          <w:color w:val="0070C0"/>
        </w:rPr>
        <w:t xml:space="preserve"> century AD) </w:t>
      </w:r>
      <w:r w:rsidRPr="00A72E07">
        <w:rPr>
          <w:rFonts w:ascii="Calibri" w:hAnsi="Calibri" w:cs="Calibri"/>
          <w:b/>
          <w:bCs/>
          <w:color w:val="002060"/>
        </w:rPr>
        <w:t>first listed 4 cardinal signs of inflammation</w:t>
      </w:r>
    </w:p>
    <w:p w14:paraId="578B14F9" w14:textId="77777777" w:rsidR="00086C07" w:rsidRPr="00A72E07" w:rsidRDefault="00086C07" w:rsidP="00A24C16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70C0"/>
        </w:rPr>
        <w:t xml:space="preserve">Rudolf Virchow </w:t>
      </w:r>
      <w:r w:rsidRPr="00A72E07">
        <w:rPr>
          <w:rFonts w:ascii="Calibri" w:hAnsi="Calibri" w:cs="Calibri"/>
          <w:b/>
          <w:bCs/>
          <w:color w:val="002060"/>
        </w:rPr>
        <w:t xml:space="preserve">added “loss of function (function </w:t>
      </w:r>
      <w:proofErr w:type="spellStart"/>
      <w:proofErr w:type="gramStart"/>
      <w:r w:rsidRPr="00A72E07">
        <w:rPr>
          <w:rFonts w:ascii="Calibri" w:hAnsi="Calibri" w:cs="Calibri"/>
          <w:b/>
          <w:bCs/>
          <w:color w:val="002060"/>
        </w:rPr>
        <w:t>laesa</w:t>
      </w:r>
      <w:proofErr w:type="spellEnd"/>
      <w:r w:rsidRPr="00A72E07">
        <w:rPr>
          <w:rFonts w:ascii="Calibri" w:hAnsi="Calibri" w:cs="Calibri"/>
          <w:b/>
          <w:bCs/>
          <w:color w:val="002060"/>
        </w:rPr>
        <w:t>)  in</w:t>
      </w:r>
      <w:proofErr w:type="gramEnd"/>
      <w:r w:rsidRPr="00A72E07">
        <w:rPr>
          <w:rFonts w:ascii="Calibri" w:hAnsi="Calibri" w:cs="Calibri"/>
          <w:b/>
          <w:bCs/>
          <w:color w:val="002060"/>
        </w:rPr>
        <w:t xml:space="preserve"> the 19</w:t>
      </w:r>
      <w:r w:rsidRPr="00A72E07">
        <w:rPr>
          <w:rFonts w:ascii="Calibri" w:hAnsi="Calibri" w:cs="Calibri"/>
          <w:b/>
          <w:bCs/>
          <w:color w:val="002060"/>
          <w:vertAlign w:val="superscript"/>
        </w:rPr>
        <w:t>th</w:t>
      </w:r>
      <w:r w:rsidRPr="00A72E07">
        <w:rPr>
          <w:rFonts w:ascii="Calibri" w:hAnsi="Calibri" w:cs="Calibri"/>
          <w:b/>
          <w:bCs/>
          <w:color w:val="002060"/>
        </w:rPr>
        <w:t xml:space="preserve"> century</w:t>
      </w:r>
    </w:p>
    <w:p w14:paraId="0DDE3D19" w14:textId="77777777" w:rsidR="00BE3E8C" w:rsidRPr="00A72E07" w:rsidRDefault="00BE3E8C" w:rsidP="00A24C16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70C0"/>
        </w:rPr>
        <w:t xml:space="preserve">John Hunter </w:t>
      </w:r>
      <w:proofErr w:type="gramStart"/>
      <w:r w:rsidRPr="00A72E07">
        <w:rPr>
          <w:rFonts w:ascii="Calibri" w:hAnsi="Calibri" w:cs="Calibri"/>
          <w:b/>
          <w:bCs/>
          <w:color w:val="0070C0"/>
        </w:rPr>
        <w:t>( Scottish</w:t>
      </w:r>
      <w:proofErr w:type="gramEnd"/>
      <w:r w:rsidRPr="00A72E07">
        <w:rPr>
          <w:rFonts w:ascii="Calibri" w:hAnsi="Calibri" w:cs="Calibri"/>
          <w:b/>
          <w:bCs/>
          <w:color w:val="0070C0"/>
        </w:rPr>
        <w:t xml:space="preserve"> surgeon) </w:t>
      </w:r>
      <w:r w:rsidRPr="00A72E07">
        <w:rPr>
          <w:rFonts w:ascii="Calibri" w:hAnsi="Calibri" w:cs="Calibri"/>
          <w:b/>
          <w:bCs/>
          <w:color w:val="002060"/>
        </w:rPr>
        <w:t xml:space="preserve">– inflammation is not a disease but a stereotypic response to injurious stimuli by host </w:t>
      </w:r>
    </w:p>
    <w:p w14:paraId="2A412C9B" w14:textId="77777777" w:rsidR="00BE3E8C" w:rsidRPr="00A72E07" w:rsidRDefault="00BE3E8C" w:rsidP="00A24C16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70C0"/>
        </w:rPr>
        <w:t xml:space="preserve">Elie Metchnikoff </w:t>
      </w:r>
      <w:proofErr w:type="gramStart"/>
      <w:r w:rsidRPr="00A72E07">
        <w:rPr>
          <w:rFonts w:ascii="Calibri" w:hAnsi="Calibri" w:cs="Calibri"/>
          <w:b/>
          <w:bCs/>
          <w:color w:val="002060"/>
        </w:rPr>
        <w:t>-  described</w:t>
      </w:r>
      <w:proofErr w:type="gramEnd"/>
      <w:r w:rsidRPr="00A72E07">
        <w:rPr>
          <w:rFonts w:ascii="Calibri" w:hAnsi="Calibri" w:cs="Calibri"/>
          <w:b/>
          <w:bCs/>
          <w:color w:val="002060"/>
        </w:rPr>
        <w:t xml:space="preserve"> phagocytosis</w:t>
      </w:r>
    </w:p>
    <w:p w14:paraId="60452F7B" w14:textId="46E1B9CD" w:rsidR="00A75D02" w:rsidRPr="00A72E07" w:rsidRDefault="00EB56C3" w:rsidP="00A24C16">
      <w:pPr>
        <w:spacing w:line="360" w:lineRule="auto"/>
        <w:rPr>
          <w:rFonts w:ascii="Calibri" w:hAnsi="Calibri" w:cs="Calibri"/>
          <w:b/>
          <w:bCs/>
          <w:color w:val="00B050"/>
        </w:rPr>
      </w:pPr>
      <w:r w:rsidRPr="00A72E07">
        <w:rPr>
          <w:rFonts w:ascii="Calibri" w:hAnsi="Calibri" w:cs="Calibri"/>
          <w:b/>
          <w:bCs/>
          <w:color w:val="00B050"/>
        </w:rPr>
        <w:t xml:space="preserve">CAUSES OF INFLAMMATION </w:t>
      </w:r>
    </w:p>
    <w:p w14:paraId="593B644A" w14:textId="77777777" w:rsidR="00A75D02" w:rsidRPr="00A72E07" w:rsidRDefault="00A75D02" w:rsidP="00A24C16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70C0"/>
        </w:rPr>
        <w:t xml:space="preserve">Infections </w:t>
      </w:r>
      <w:r w:rsidRPr="00A72E07">
        <w:rPr>
          <w:rFonts w:ascii="Calibri" w:hAnsi="Calibri" w:cs="Calibri"/>
          <w:b/>
          <w:bCs/>
          <w:color w:val="002060"/>
        </w:rPr>
        <w:t>– bacterial, viral, fungal, parasitic and microbial toxins</w:t>
      </w:r>
    </w:p>
    <w:p w14:paraId="56834638" w14:textId="77777777" w:rsidR="00A75D02" w:rsidRPr="00A72E07" w:rsidRDefault="00A75D02" w:rsidP="00A24C16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70C0"/>
        </w:rPr>
        <w:t xml:space="preserve">Necrotic tissue </w:t>
      </w:r>
      <w:r w:rsidRPr="00A72E07">
        <w:rPr>
          <w:rFonts w:ascii="Calibri" w:hAnsi="Calibri" w:cs="Calibri"/>
          <w:b/>
          <w:bCs/>
          <w:color w:val="002060"/>
        </w:rPr>
        <w:t>– molecules released from necrotic cells induce inflammatory reaction</w:t>
      </w:r>
    </w:p>
    <w:p w14:paraId="0529BC4C" w14:textId="77777777" w:rsidR="00A75D02" w:rsidRPr="00A72E07" w:rsidRDefault="00A75D02" w:rsidP="00A24C16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70C0"/>
        </w:rPr>
        <w:t xml:space="preserve">Foreign bodies (splinters, dirt, sutures) </w:t>
      </w:r>
      <w:r w:rsidRPr="00A72E07">
        <w:rPr>
          <w:rFonts w:ascii="Calibri" w:hAnsi="Calibri" w:cs="Calibri"/>
          <w:b/>
          <w:bCs/>
          <w:color w:val="002060"/>
        </w:rPr>
        <w:t xml:space="preserve">– elicit inflammation by themselves or can cause tissue </w:t>
      </w:r>
      <w:proofErr w:type="gramStart"/>
      <w:r w:rsidRPr="00A72E07">
        <w:rPr>
          <w:rFonts w:ascii="Calibri" w:hAnsi="Calibri" w:cs="Calibri"/>
          <w:b/>
          <w:bCs/>
          <w:color w:val="002060"/>
        </w:rPr>
        <w:t>injury .</w:t>
      </w:r>
      <w:proofErr w:type="gramEnd"/>
      <w:r w:rsidRPr="00A72E07">
        <w:rPr>
          <w:rFonts w:ascii="Calibri" w:hAnsi="Calibri" w:cs="Calibri"/>
          <w:b/>
          <w:bCs/>
          <w:color w:val="002060"/>
        </w:rPr>
        <w:t xml:space="preserve"> Deposition of endogenous substances like urate crystals, cholesterol </w:t>
      </w:r>
      <w:proofErr w:type="gramStart"/>
      <w:r w:rsidRPr="00A72E07">
        <w:rPr>
          <w:rFonts w:ascii="Calibri" w:hAnsi="Calibri" w:cs="Calibri"/>
          <w:b/>
          <w:bCs/>
          <w:color w:val="002060"/>
        </w:rPr>
        <w:t>crystals,  lipids</w:t>
      </w:r>
      <w:proofErr w:type="gramEnd"/>
      <w:r w:rsidRPr="00A72E07">
        <w:rPr>
          <w:rFonts w:ascii="Calibri" w:hAnsi="Calibri" w:cs="Calibri"/>
          <w:b/>
          <w:bCs/>
          <w:color w:val="002060"/>
        </w:rPr>
        <w:t xml:space="preserve"> can </w:t>
      </w:r>
      <w:proofErr w:type="gramStart"/>
      <w:r w:rsidRPr="00A72E07">
        <w:rPr>
          <w:rFonts w:ascii="Calibri" w:hAnsi="Calibri" w:cs="Calibri"/>
          <w:b/>
          <w:bCs/>
          <w:color w:val="002060"/>
        </w:rPr>
        <w:t>also  produce</w:t>
      </w:r>
      <w:proofErr w:type="gramEnd"/>
      <w:r w:rsidRPr="00A72E07">
        <w:rPr>
          <w:rFonts w:ascii="Calibri" w:hAnsi="Calibri" w:cs="Calibri"/>
          <w:b/>
          <w:bCs/>
          <w:color w:val="002060"/>
        </w:rPr>
        <w:t xml:space="preserve"> inflammation</w:t>
      </w:r>
    </w:p>
    <w:p w14:paraId="2D295CF1" w14:textId="77777777" w:rsidR="00A75D02" w:rsidRPr="00A72E07" w:rsidRDefault="00A75D02" w:rsidP="00A24C16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70C0"/>
        </w:rPr>
        <w:t xml:space="preserve">Immune reactions </w:t>
      </w:r>
      <w:r w:rsidRPr="00A72E07">
        <w:rPr>
          <w:rFonts w:ascii="Calibri" w:hAnsi="Calibri" w:cs="Calibri"/>
          <w:b/>
          <w:bCs/>
          <w:color w:val="002060"/>
        </w:rPr>
        <w:t xml:space="preserve">– autoimmune diseases where injurious immune responses are directed against </w:t>
      </w:r>
      <w:proofErr w:type="spellStart"/>
      <w:r w:rsidRPr="00A72E07">
        <w:rPr>
          <w:rFonts w:ascii="Calibri" w:hAnsi="Calibri" w:cs="Calibri"/>
          <w:b/>
          <w:bCs/>
          <w:color w:val="002060"/>
        </w:rPr>
        <w:t>self antigens</w:t>
      </w:r>
      <w:proofErr w:type="spellEnd"/>
    </w:p>
    <w:p w14:paraId="468B0380" w14:textId="77777777" w:rsidR="007A113E" w:rsidRPr="00A72E07" w:rsidRDefault="007A113E" w:rsidP="00A24C16">
      <w:pPr>
        <w:spacing w:line="360" w:lineRule="auto"/>
        <w:rPr>
          <w:rFonts w:ascii="Calibri" w:hAnsi="Calibri" w:cs="Calibri"/>
          <w:b/>
          <w:bCs/>
          <w:color w:val="00B050"/>
        </w:rPr>
      </w:pPr>
    </w:p>
    <w:p w14:paraId="78F2B6A5" w14:textId="77777777" w:rsidR="007A113E" w:rsidRPr="00A72E07" w:rsidRDefault="007A113E" w:rsidP="00A24C16">
      <w:pPr>
        <w:spacing w:line="360" w:lineRule="auto"/>
        <w:rPr>
          <w:rFonts w:ascii="Calibri" w:hAnsi="Calibri" w:cs="Calibri"/>
          <w:b/>
          <w:bCs/>
          <w:color w:val="00B050"/>
        </w:rPr>
      </w:pPr>
    </w:p>
    <w:p w14:paraId="094908E3" w14:textId="5E1223C2" w:rsidR="004F523B" w:rsidRPr="00A24C16" w:rsidRDefault="00A5200A" w:rsidP="00A24C16">
      <w:pPr>
        <w:spacing w:line="360" w:lineRule="auto"/>
        <w:rPr>
          <w:rFonts w:ascii="Calibri" w:hAnsi="Calibri" w:cs="Calibri"/>
          <w:b/>
          <w:bCs/>
          <w:color w:val="00B050"/>
          <w:sz w:val="22"/>
          <w:szCs w:val="22"/>
        </w:rPr>
      </w:pPr>
      <w:r w:rsidRPr="00A24C16">
        <w:rPr>
          <w:rFonts w:ascii="Calibri" w:hAnsi="Calibri" w:cs="Calibri"/>
          <w:b/>
          <w:bCs/>
          <w:color w:val="00B050"/>
          <w:sz w:val="22"/>
          <w:szCs w:val="22"/>
        </w:rPr>
        <w:t>STEPS IN INFLAMMATORY REACTION</w:t>
      </w:r>
    </w:p>
    <w:p w14:paraId="6F28C8E8" w14:textId="3549BB33" w:rsidR="009F58E3" w:rsidRPr="00A24C16" w:rsidRDefault="009F58E3" w:rsidP="00A24C16">
      <w:pPr>
        <w:pStyle w:val="ListParagraph"/>
        <w:numPr>
          <w:ilvl w:val="0"/>
          <w:numId w:val="7"/>
        </w:numPr>
        <w:spacing w:line="360" w:lineRule="auto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A24C16">
        <w:rPr>
          <w:rFonts w:ascii="Calibri" w:hAnsi="Calibri" w:cs="Calibri"/>
          <w:b/>
          <w:bCs/>
          <w:color w:val="002060"/>
          <w:sz w:val="22"/>
          <w:szCs w:val="22"/>
        </w:rPr>
        <w:t>RECOGNITION OF NOXIOUS AGENTS</w:t>
      </w:r>
    </w:p>
    <w:p w14:paraId="76632A60" w14:textId="3B6925AB" w:rsidR="002108F8" w:rsidRPr="00793FD7" w:rsidRDefault="007A113E" w:rsidP="00793FD7">
      <w:pPr>
        <w:pStyle w:val="ListParagraph"/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noProof/>
          <w:color w:val="002060"/>
        </w:rPr>
        <w:drawing>
          <wp:inline distT="0" distB="0" distL="0" distR="0" wp14:anchorId="3FB43BD2" wp14:editId="583F26A4">
            <wp:extent cx="3282115" cy="3387144"/>
            <wp:effectExtent l="0" t="0" r="0" b="3810"/>
            <wp:docPr id="1976917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9175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4926" cy="340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24873" w14:textId="1A0DBD16" w:rsidR="009F58E3" w:rsidRPr="00A72E07" w:rsidRDefault="002108F8" w:rsidP="00A24C16">
      <w:pPr>
        <w:pStyle w:val="ListParagraph"/>
        <w:spacing w:line="360" w:lineRule="auto"/>
        <w:ind w:left="-450"/>
        <w:rPr>
          <w:rFonts w:ascii="Calibri" w:hAnsi="Calibri" w:cs="Calibri"/>
          <w:b/>
          <w:bCs/>
          <w:color w:val="00B050"/>
        </w:rPr>
      </w:pPr>
      <w:r w:rsidRPr="00A72E07">
        <w:rPr>
          <w:rFonts w:ascii="Calibri" w:hAnsi="Calibri" w:cs="Calibri"/>
          <w:b/>
          <w:bCs/>
          <w:noProof/>
          <w:color w:val="00B050"/>
        </w:rPr>
        <w:drawing>
          <wp:inline distT="0" distB="0" distL="0" distR="0" wp14:anchorId="39651752" wp14:editId="4FAFF6A4">
            <wp:extent cx="6060243" cy="3219718"/>
            <wp:effectExtent l="0" t="0" r="0" b="0"/>
            <wp:docPr id="10934069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40691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0666" cy="324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06CE6" w14:textId="32F888AE" w:rsidR="004C4DAD" w:rsidRPr="00A72E07" w:rsidRDefault="001E06A9" w:rsidP="00A24C16">
      <w:pPr>
        <w:pStyle w:val="ListParagraph"/>
        <w:spacing w:line="360" w:lineRule="auto"/>
        <w:ind w:left="0"/>
        <w:rPr>
          <w:rFonts w:ascii="Calibri" w:hAnsi="Calibri" w:cs="Calibri"/>
          <w:b/>
          <w:bCs/>
          <w:color w:val="00B050"/>
        </w:rPr>
      </w:pPr>
      <w:r w:rsidRPr="00A72E07">
        <w:rPr>
          <w:rFonts w:ascii="Calibri" w:hAnsi="Calibri" w:cs="Calibri"/>
          <w:b/>
          <w:bCs/>
          <w:noProof/>
          <w:color w:val="00B050"/>
        </w:rPr>
        <w:lastRenderedPageBreak/>
        <w:drawing>
          <wp:inline distT="0" distB="0" distL="0" distR="0" wp14:anchorId="03A03A3B" wp14:editId="5E3716B4">
            <wp:extent cx="4778062" cy="5577699"/>
            <wp:effectExtent l="0" t="0" r="3810" b="4445"/>
            <wp:docPr id="1697849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849086" name=""/>
                    <pic:cNvPicPr/>
                  </pic:nvPicPr>
                  <pic:blipFill rotWithShape="1">
                    <a:blip r:embed="rId10"/>
                    <a:srcRect b="2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696" cy="5597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71E5A" w14:textId="7CD6EE73" w:rsidR="0022548C" w:rsidRPr="00A72E07" w:rsidRDefault="00625DBA" w:rsidP="00A24C16">
      <w:pPr>
        <w:pStyle w:val="ListParagraph"/>
        <w:spacing w:line="360" w:lineRule="auto"/>
        <w:ind w:left="0"/>
        <w:rPr>
          <w:rFonts w:ascii="Calibri" w:hAnsi="Calibri" w:cs="Calibri"/>
          <w:b/>
          <w:bCs/>
          <w:color w:val="00B050"/>
        </w:rPr>
      </w:pPr>
      <w:r w:rsidRPr="00A72E07">
        <w:rPr>
          <w:rFonts w:ascii="Calibri" w:hAnsi="Calibri" w:cs="Calibri"/>
          <w:b/>
          <w:bCs/>
          <w:noProof/>
          <w:color w:val="00B050"/>
        </w:rPr>
        <w:lastRenderedPageBreak/>
        <w:drawing>
          <wp:inline distT="0" distB="0" distL="0" distR="0" wp14:anchorId="5C86BA12" wp14:editId="4DAC9BFA">
            <wp:extent cx="4091870" cy="2524259"/>
            <wp:effectExtent l="0" t="0" r="4445" b="0"/>
            <wp:docPr id="1623733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733115" name=""/>
                    <pic:cNvPicPr/>
                  </pic:nvPicPr>
                  <pic:blipFill rotWithShape="1">
                    <a:blip r:embed="rId11"/>
                    <a:srcRect t="2860" b="3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648" cy="2528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8D0B90" w14:textId="219D7AA7" w:rsidR="005B13A0" w:rsidRPr="00A72E07" w:rsidRDefault="005B13A0" w:rsidP="00EB1DC5">
      <w:pPr>
        <w:pStyle w:val="ListParagraph"/>
        <w:spacing w:line="360" w:lineRule="auto"/>
        <w:ind w:left="0"/>
        <w:rPr>
          <w:rFonts w:ascii="Calibri" w:hAnsi="Calibri" w:cs="Calibri"/>
          <w:b/>
          <w:bCs/>
          <w:color w:val="00B050"/>
        </w:rPr>
      </w:pPr>
      <w:r w:rsidRPr="00A72E07">
        <w:rPr>
          <w:rFonts w:ascii="Calibri" w:hAnsi="Calibri" w:cs="Calibri"/>
          <w:b/>
          <w:bCs/>
          <w:noProof/>
          <w:color w:val="00B050"/>
        </w:rPr>
        <w:drawing>
          <wp:inline distT="0" distB="0" distL="0" distR="0" wp14:anchorId="3BEE1026" wp14:editId="32CF0983">
            <wp:extent cx="5943600" cy="1887855"/>
            <wp:effectExtent l="0" t="0" r="0" b="0"/>
            <wp:docPr id="751242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24203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877CB" w14:textId="77777777" w:rsidR="006450C3" w:rsidRPr="00A72E07" w:rsidRDefault="006450C3" w:rsidP="00A24C16">
      <w:pPr>
        <w:spacing w:line="360" w:lineRule="auto"/>
        <w:rPr>
          <w:rFonts w:ascii="Calibri" w:hAnsi="Calibri" w:cs="Calibri"/>
          <w:b/>
          <w:bCs/>
          <w:color w:val="00B050"/>
        </w:rPr>
      </w:pPr>
      <w:r w:rsidRPr="00A72E07">
        <w:rPr>
          <w:rFonts w:ascii="Calibri" w:hAnsi="Calibri" w:cs="Calibri"/>
          <w:b/>
          <w:bCs/>
          <w:color w:val="00B050"/>
        </w:rPr>
        <w:t>Nature of the leukocyte infiltrate varies with the age of the inflammatory response and the type of stimulus</w:t>
      </w:r>
    </w:p>
    <w:p w14:paraId="36BDC189" w14:textId="77777777" w:rsidR="00C55DC9" w:rsidRPr="00A72E07" w:rsidRDefault="00C55DC9" w:rsidP="00A24C16">
      <w:pPr>
        <w:pStyle w:val="ListParagraph"/>
        <w:numPr>
          <w:ilvl w:val="0"/>
          <w:numId w:val="7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2060"/>
        </w:rPr>
        <w:t>Neutrophils respond faster to chemokines and are more in number</w:t>
      </w:r>
    </w:p>
    <w:p w14:paraId="28B6886D" w14:textId="77777777" w:rsidR="00C55DC9" w:rsidRPr="00A72E07" w:rsidRDefault="00C55DC9" w:rsidP="00A24C16">
      <w:pPr>
        <w:pStyle w:val="ListParagraph"/>
        <w:numPr>
          <w:ilvl w:val="0"/>
          <w:numId w:val="7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2060"/>
        </w:rPr>
        <w:t>Neutrophils are short lived and undergo apoptosis</w:t>
      </w:r>
    </w:p>
    <w:p w14:paraId="7D9C8766" w14:textId="77777777" w:rsidR="00C55DC9" w:rsidRPr="00A72E07" w:rsidRDefault="00C55DC9" w:rsidP="00A24C16">
      <w:pPr>
        <w:pStyle w:val="ListParagraph"/>
        <w:numPr>
          <w:ilvl w:val="0"/>
          <w:numId w:val="7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2060"/>
        </w:rPr>
        <w:t xml:space="preserve">Monocytes survive longer and proliferate in tissues  </w:t>
      </w:r>
    </w:p>
    <w:p w14:paraId="79035108" w14:textId="088BC52E" w:rsidR="00C55DC9" w:rsidRPr="00A72E07" w:rsidRDefault="00C55DC9" w:rsidP="00A24C16">
      <w:pPr>
        <w:pStyle w:val="ListParagraph"/>
        <w:numPr>
          <w:ilvl w:val="0"/>
          <w:numId w:val="7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2060"/>
        </w:rPr>
        <w:t xml:space="preserve">Once leukocytes are recruited, they must be activated to perform their </w:t>
      </w:r>
      <w:proofErr w:type="spellStart"/>
      <w:r w:rsidRPr="00A72E07">
        <w:rPr>
          <w:rFonts w:ascii="Calibri" w:hAnsi="Calibri" w:cs="Calibri"/>
          <w:b/>
          <w:bCs/>
          <w:color w:val="002060"/>
        </w:rPr>
        <w:t>functions</w:t>
      </w:r>
      <w:r w:rsidR="00750E0A">
        <w:rPr>
          <w:rFonts w:ascii="Calibri" w:hAnsi="Calibri" w:cs="Calibri"/>
          <w:b/>
          <w:bCs/>
          <w:color w:val="002060"/>
        </w:rPr>
        <w:t>SS</w:t>
      </w:r>
      <w:proofErr w:type="spellEnd"/>
    </w:p>
    <w:p w14:paraId="0F489F36" w14:textId="77777777" w:rsidR="00C55DC9" w:rsidRPr="00A72E07" w:rsidRDefault="00C55DC9" w:rsidP="00A24C16">
      <w:pPr>
        <w:pStyle w:val="ListParagraph"/>
        <w:numPr>
          <w:ilvl w:val="0"/>
          <w:numId w:val="7"/>
        </w:numPr>
        <w:spacing w:line="360" w:lineRule="auto"/>
        <w:rPr>
          <w:rFonts w:ascii="Calibri" w:hAnsi="Calibri" w:cs="Calibri"/>
          <w:b/>
          <w:bCs/>
          <w:color w:val="002060"/>
        </w:rPr>
      </w:pPr>
      <w:r w:rsidRPr="00A72E07">
        <w:rPr>
          <w:rFonts w:ascii="Calibri" w:hAnsi="Calibri" w:cs="Calibri"/>
          <w:b/>
          <w:bCs/>
          <w:color w:val="002060"/>
        </w:rPr>
        <w:t xml:space="preserve">Responses of leukocytes depend upon the receptors which deliver the signals to leukocytes </w:t>
      </w:r>
    </w:p>
    <w:p w14:paraId="4E9C2B9A" w14:textId="335FA6C4" w:rsidR="007541EE" w:rsidRPr="00A72E07" w:rsidRDefault="00F845CD" w:rsidP="00A24C16">
      <w:pPr>
        <w:spacing w:line="360" w:lineRule="auto"/>
        <w:rPr>
          <w:rFonts w:ascii="Calibri" w:hAnsi="Calibri" w:cs="Calibri"/>
          <w:b/>
          <w:bCs/>
          <w:color w:val="00B050"/>
        </w:rPr>
      </w:pPr>
      <w:r w:rsidRPr="00A72E07">
        <w:rPr>
          <w:rFonts w:ascii="Calibri" w:hAnsi="Calibri" w:cs="Calibri"/>
          <w:b/>
          <w:bCs/>
          <w:noProof/>
          <w:color w:val="00B050"/>
        </w:rPr>
        <w:lastRenderedPageBreak/>
        <w:drawing>
          <wp:inline distT="0" distB="0" distL="0" distR="0" wp14:anchorId="6D62FE45" wp14:editId="60ACD7E0">
            <wp:extent cx="5943600" cy="3473245"/>
            <wp:effectExtent l="0" t="0" r="0" b="0"/>
            <wp:docPr id="612630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63006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6260" cy="3474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41EE" w:rsidRPr="00A72E0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D2E98" w14:textId="77777777" w:rsidR="00D00A13" w:rsidRDefault="00D00A13" w:rsidP="002108F8">
      <w:pPr>
        <w:spacing w:after="0" w:line="240" w:lineRule="auto"/>
      </w:pPr>
      <w:r>
        <w:separator/>
      </w:r>
    </w:p>
  </w:endnote>
  <w:endnote w:type="continuationSeparator" w:id="0">
    <w:p w14:paraId="506F2FAF" w14:textId="77777777" w:rsidR="00D00A13" w:rsidRDefault="00D00A13" w:rsidP="00210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72194" w14:textId="77777777" w:rsidR="00E5306B" w:rsidRDefault="00E530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65989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F7BD9E" w14:textId="1ADAC71B" w:rsidR="00902560" w:rsidRDefault="009025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5A7CF3" w14:textId="77777777" w:rsidR="00E5306B" w:rsidRDefault="00E5306B" w:rsidP="00E5306B">
    <w:pPr>
      <w:pStyle w:val="Footer"/>
      <w:jc w:val="center"/>
    </w:pPr>
    <w:r w:rsidRPr="00EC5EEB">
      <w:rPr>
        <w:rFonts w:ascii="Calibri" w:hAnsi="Calibri" w:cs="Calibri"/>
        <w:b/>
        <w:bCs/>
        <w:sz w:val="20"/>
        <w:szCs w:val="20"/>
      </w:rPr>
      <w:t>Dr.</w:t>
    </w:r>
    <w:r>
      <w:rPr>
        <w:rFonts w:ascii="Calibri" w:hAnsi="Calibri" w:cs="Calibri"/>
        <w:b/>
        <w:bCs/>
        <w:sz w:val="20"/>
        <w:szCs w:val="20"/>
      </w:rPr>
      <w:t xml:space="preserve"> </w:t>
    </w:r>
    <w:r w:rsidRPr="00EC5EEB">
      <w:rPr>
        <w:rFonts w:ascii="Calibri" w:hAnsi="Calibri" w:cs="Calibri"/>
        <w:b/>
        <w:bCs/>
        <w:sz w:val="20"/>
        <w:szCs w:val="20"/>
      </w:rPr>
      <w:t xml:space="preserve">V. </w:t>
    </w:r>
    <w:proofErr w:type="gramStart"/>
    <w:r w:rsidRPr="00EC5EEB">
      <w:rPr>
        <w:rFonts w:ascii="Calibri" w:hAnsi="Calibri" w:cs="Calibri"/>
        <w:b/>
        <w:bCs/>
        <w:sz w:val="20"/>
        <w:szCs w:val="20"/>
      </w:rPr>
      <w:t>Shanthi</w:t>
    </w:r>
    <w:r>
      <w:rPr>
        <w:rFonts w:ascii="Calibri" w:hAnsi="Calibri" w:cs="Calibri"/>
        <w:b/>
        <w:bCs/>
        <w:sz w:val="20"/>
        <w:szCs w:val="20"/>
      </w:rPr>
      <w:t xml:space="preserve"> </w:t>
    </w:r>
    <w:r w:rsidRPr="00EC5EEB">
      <w:rPr>
        <w:rFonts w:ascii="Calibri" w:hAnsi="Calibri" w:cs="Calibri"/>
        <w:b/>
        <w:bCs/>
        <w:sz w:val="20"/>
        <w:szCs w:val="20"/>
      </w:rPr>
      <w:t>@</w:t>
    </w:r>
    <w:proofErr w:type="gramEnd"/>
    <w:r>
      <w:rPr>
        <w:rFonts w:ascii="Calibri" w:hAnsi="Calibri" w:cs="Calibri"/>
        <w:b/>
        <w:bCs/>
        <w:sz w:val="20"/>
        <w:szCs w:val="20"/>
      </w:rPr>
      <w:t xml:space="preserve"> </w:t>
    </w:r>
    <w:r w:rsidRPr="00EC5EEB">
      <w:rPr>
        <w:rFonts w:ascii="Calibri" w:hAnsi="Calibri" w:cs="Calibri"/>
        <w:b/>
        <w:bCs/>
        <w:sz w:val="20"/>
        <w:szCs w:val="20"/>
      </w:rPr>
      <w:t>pathology insights</w:t>
    </w:r>
    <w:r w:rsidRPr="00EC5EEB">
      <w:rPr>
        <w:sz w:val="20"/>
        <w:szCs w:val="20"/>
      </w:rPr>
      <w:t xml:space="preserve">   </w:t>
    </w:r>
    <w:r w:rsidRPr="00F03B45">
      <w:rPr>
        <w:noProof/>
      </w:rPr>
      <w:drawing>
        <wp:inline distT="0" distB="0" distL="0" distR="0" wp14:anchorId="29783F56" wp14:editId="05227D8B">
          <wp:extent cx="200891" cy="157766"/>
          <wp:effectExtent l="0" t="0" r="8890" b="0"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2938FD54-C741-51A3-BBB7-CD6983419A1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2938FD54-C741-51A3-BBB7-CD6983419A1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113" cy="1657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B76781" w14:textId="77777777" w:rsidR="004C4DAD" w:rsidRDefault="004C4D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10A72" w14:textId="77777777" w:rsidR="00E5306B" w:rsidRDefault="00E530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D99AD" w14:textId="77777777" w:rsidR="00D00A13" w:rsidRDefault="00D00A13" w:rsidP="002108F8">
      <w:pPr>
        <w:spacing w:after="0" w:line="240" w:lineRule="auto"/>
      </w:pPr>
      <w:r>
        <w:separator/>
      </w:r>
    </w:p>
  </w:footnote>
  <w:footnote w:type="continuationSeparator" w:id="0">
    <w:p w14:paraId="7705CF9C" w14:textId="77777777" w:rsidR="00D00A13" w:rsidRDefault="00D00A13" w:rsidP="00210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23AC6" w14:textId="77777777" w:rsidR="00E5306B" w:rsidRDefault="00E530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04B42" w14:textId="77777777" w:rsidR="00E5306B" w:rsidRDefault="00E530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E77F" w14:textId="77777777" w:rsidR="00E5306B" w:rsidRDefault="00E530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11FD"/>
    <w:multiLevelType w:val="hybridMultilevel"/>
    <w:tmpl w:val="9CE0AD36"/>
    <w:lvl w:ilvl="0" w:tplc="5B207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FCD9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B8B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8CEF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8A19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CCEB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C8AB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70C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8E10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8F1F3C"/>
    <w:multiLevelType w:val="hybridMultilevel"/>
    <w:tmpl w:val="E9A60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E3F98"/>
    <w:multiLevelType w:val="hybridMultilevel"/>
    <w:tmpl w:val="B428FD66"/>
    <w:lvl w:ilvl="0" w:tplc="E26E5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74E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D076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E8D4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7EDD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E66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06E4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E835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20AD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4E05B74"/>
    <w:multiLevelType w:val="hybridMultilevel"/>
    <w:tmpl w:val="78443226"/>
    <w:lvl w:ilvl="0" w:tplc="509AAD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2AB6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703B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326D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4AF6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2A70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D824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FCCB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E8BB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A5A6804"/>
    <w:multiLevelType w:val="hybridMultilevel"/>
    <w:tmpl w:val="5150FB7C"/>
    <w:lvl w:ilvl="0" w:tplc="64487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F2E9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98DF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DEC4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7EB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3E1D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4C2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5CEE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0ED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91365AD"/>
    <w:multiLevelType w:val="hybridMultilevel"/>
    <w:tmpl w:val="D4AC6204"/>
    <w:lvl w:ilvl="0" w:tplc="8DF2EE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3E91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28A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8A35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AEFC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0EFA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0A44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70CF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383F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A5800B0"/>
    <w:multiLevelType w:val="hybridMultilevel"/>
    <w:tmpl w:val="262A6582"/>
    <w:lvl w:ilvl="0" w:tplc="C616E0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987F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A9E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F8C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6872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D492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B428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466E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0E0D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489715A"/>
    <w:multiLevelType w:val="hybridMultilevel"/>
    <w:tmpl w:val="CBE48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744194">
    <w:abstractNumId w:val="7"/>
  </w:num>
  <w:num w:numId="2" w16cid:durableId="2018653316">
    <w:abstractNumId w:val="4"/>
  </w:num>
  <w:num w:numId="3" w16cid:durableId="327253875">
    <w:abstractNumId w:val="6"/>
  </w:num>
  <w:num w:numId="4" w16cid:durableId="1788700160">
    <w:abstractNumId w:val="3"/>
  </w:num>
  <w:num w:numId="5" w16cid:durableId="1034384169">
    <w:abstractNumId w:val="2"/>
  </w:num>
  <w:num w:numId="6" w16cid:durableId="290483646">
    <w:abstractNumId w:val="5"/>
  </w:num>
  <w:num w:numId="7" w16cid:durableId="616449552">
    <w:abstractNumId w:val="1"/>
  </w:num>
  <w:num w:numId="8" w16cid:durableId="1864857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F1"/>
    <w:rsid w:val="00072983"/>
    <w:rsid w:val="00086C07"/>
    <w:rsid w:val="001A7829"/>
    <w:rsid w:val="001B7E4C"/>
    <w:rsid w:val="001D2495"/>
    <w:rsid w:val="001E06A9"/>
    <w:rsid w:val="002107FD"/>
    <w:rsid w:val="002108F8"/>
    <w:rsid w:val="0022548C"/>
    <w:rsid w:val="002B68F1"/>
    <w:rsid w:val="003E7B37"/>
    <w:rsid w:val="004A7124"/>
    <w:rsid w:val="004C4DAD"/>
    <w:rsid w:val="004F523B"/>
    <w:rsid w:val="0051798E"/>
    <w:rsid w:val="005B13A0"/>
    <w:rsid w:val="00625DBA"/>
    <w:rsid w:val="006450C3"/>
    <w:rsid w:val="00750E0A"/>
    <w:rsid w:val="007541EE"/>
    <w:rsid w:val="00793FD7"/>
    <w:rsid w:val="007A113E"/>
    <w:rsid w:val="00902560"/>
    <w:rsid w:val="009F58E3"/>
    <w:rsid w:val="00A24C16"/>
    <w:rsid w:val="00A5200A"/>
    <w:rsid w:val="00A72E07"/>
    <w:rsid w:val="00A75D02"/>
    <w:rsid w:val="00AE2C2B"/>
    <w:rsid w:val="00BE3E8C"/>
    <w:rsid w:val="00C332C7"/>
    <w:rsid w:val="00C55DC9"/>
    <w:rsid w:val="00CF261D"/>
    <w:rsid w:val="00D00A13"/>
    <w:rsid w:val="00E23645"/>
    <w:rsid w:val="00E5306B"/>
    <w:rsid w:val="00E96FAD"/>
    <w:rsid w:val="00EB1DC5"/>
    <w:rsid w:val="00EB56C3"/>
    <w:rsid w:val="00F80CBE"/>
    <w:rsid w:val="00F845CD"/>
    <w:rsid w:val="00FC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3E2C5"/>
  <w15:chartTrackingRefBased/>
  <w15:docId w15:val="{50AF641D-D11D-4C95-9C46-692E7F3A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8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8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8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8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8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8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8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8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8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8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8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0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8F8"/>
  </w:style>
  <w:style w:type="paragraph" w:styleId="Footer">
    <w:name w:val="footer"/>
    <w:basedOn w:val="Normal"/>
    <w:link w:val="FooterChar"/>
    <w:uiPriority w:val="99"/>
    <w:unhideWhenUsed/>
    <w:rsid w:val="00210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232</Words>
  <Characters>1381</Characters>
  <Application>Microsoft Office Word</Application>
  <DocSecurity>0</DocSecurity>
  <Lines>33</Lines>
  <Paragraphs>24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Rupesh Vissa</dc:creator>
  <cp:keywords/>
  <dc:description/>
  <cp:lastModifiedBy>Rupesh Vissa</cp:lastModifiedBy>
  <cp:revision>92</cp:revision>
  <dcterms:created xsi:type="dcterms:W3CDTF">2026-09-05T13:37:00Z</dcterms:created>
  <dcterms:modified xsi:type="dcterms:W3CDTF">2026-09-05T14:08:00Z</dcterms:modified>
</cp:coreProperties>
</file>